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71C" w:rsidRPr="00D574FF" w:rsidRDefault="0001371C" w:rsidP="0001371C">
      <w:pPr>
        <w:spacing w:line="480" w:lineRule="auto"/>
        <w:jc w:val="center"/>
        <w:rPr>
          <w:rFonts w:ascii="Times New Roman" w:hAnsi="Times New Roman" w:cs="Times New Roman"/>
          <w:sz w:val="24"/>
          <w:szCs w:val="24"/>
        </w:rPr>
      </w:pPr>
      <w:r w:rsidRPr="00D574FF">
        <w:rPr>
          <w:rFonts w:ascii="Times New Roman" w:hAnsi="Times New Roman" w:cs="Times New Roman"/>
          <w:sz w:val="24"/>
          <w:szCs w:val="24"/>
        </w:rPr>
        <w:t>Sears Holding</w:t>
      </w:r>
      <w:r>
        <w:rPr>
          <w:rFonts w:ascii="Times New Roman" w:hAnsi="Times New Roman" w:cs="Times New Roman"/>
          <w:sz w:val="24"/>
          <w:szCs w:val="24"/>
        </w:rPr>
        <w:t xml:space="preserve"> Corporation</w:t>
      </w:r>
    </w:p>
    <w:p w:rsidR="0001371C" w:rsidRDefault="0001371C" w:rsidP="00D574F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1371C" w:rsidRDefault="0001371C" w:rsidP="00D574F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1371C" w:rsidRDefault="0001371C" w:rsidP="00D574F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1371C" w:rsidRDefault="0001371C" w:rsidP="00D574FF">
      <w:pPr>
        <w:spacing w:line="480" w:lineRule="auto"/>
        <w:jc w:val="center"/>
        <w:rPr>
          <w:rFonts w:ascii="Times New Roman" w:hAnsi="Times New Roman" w:cs="Times New Roman"/>
          <w:sz w:val="24"/>
          <w:szCs w:val="24"/>
        </w:rPr>
      </w:pPr>
    </w:p>
    <w:p w:rsidR="0001371C" w:rsidRDefault="0001371C" w:rsidP="00D574FF">
      <w:pPr>
        <w:spacing w:line="480" w:lineRule="auto"/>
        <w:jc w:val="center"/>
        <w:rPr>
          <w:rFonts w:ascii="Times New Roman" w:hAnsi="Times New Roman" w:cs="Times New Roman"/>
          <w:sz w:val="24"/>
          <w:szCs w:val="24"/>
        </w:rPr>
      </w:pPr>
    </w:p>
    <w:p w:rsidR="0001371C" w:rsidRDefault="0001371C" w:rsidP="00D574FF">
      <w:pPr>
        <w:spacing w:line="480" w:lineRule="auto"/>
        <w:jc w:val="center"/>
        <w:rPr>
          <w:rFonts w:ascii="Times New Roman" w:hAnsi="Times New Roman" w:cs="Times New Roman"/>
          <w:sz w:val="24"/>
          <w:szCs w:val="24"/>
        </w:rPr>
      </w:pPr>
    </w:p>
    <w:p w:rsidR="0001371C" w:rsidRDefault="0001371C" w:rsidP="00D574FF">
      <w:pPr>
        <w:spacing w:line="480" w:lineRule="auto"/>
        <w:jc w:val="center"/>
        <w:rPr>
          <w:rFonts w:ascii="Times New Roman" w:hAnsi="Times New Roman" w:cs="Times New Roman"/>
          <w:sz w:val="24"/>
          <w:szCs w:val="24"/>
        </w:rPr>
      </w:pPr>
    </w:p>
    <w:p w:rsidR="0001371C" w:rsidRDefault="0001371C" w:rsidP="00D574FF">
      <w:pPr>
        <w:spacing w:line="480" w:lineRule="auto"/>
        <w:jc w:val="center"/>
        <w:rPr>
          <w:rFonts w:ascii="Times New Roman" w:hAnsi="Times New Roman" w:cs="Times New Roman"/>
          <w:sz w:val="24"/>
          <w:szCs w:val="24"/>
        </w:rPr>
      </w:pPr>
    </w:p>
    <w:p w:rsidR="0001371C" w:rsidRDefault="0001371C" w:rsidP="00D574FF">
      <w:pPr>
        <w:spacing w:line="480" w:lineRule="auto"/>
        <w:jc w:val="center"/>
        <w:rPr>
          <w:rFonts w:ascii="Times New Roman" w:hAnsi="Times New Roman" w:cs="Times New Roman"/>
          <w:sz w:val="24"/>
          <w:szCs w:val="24"/>
        </w:rPr>
      </w:pPr>
    </w:p>
    <w:p w:rsidR="0001371C" w:rsidRDefault="0001371C" w:rsidP="00D574FF">
      <w:pPr>
        <w:spacing w:line="480" w:lineRule="auto"/>
        <w:jc w:val="center"/>
        <w:rPr>
          <w:rFonts w:ascii="Times New Roman" w:hAnsi="Times New Roman" w:cs="Times New Roman"/>
          <w:sz w:val="24"/>
          <w:szCs w:val="24"/>
        </w:rPr>
      </w:pPr>
    </w:p>
    <w:p w:rsidR="0001371C" w:rsidRDefault="0001371C" w:rsidP="00D574FF">
      <w:pPr>
        <w:spacing w:line="480" w:lineRule="auto"/>
        <w:jc w:val="center"/>
        <w:rPr>
          <w:rFonts w:ascii="Times New Roman" w:hAnsi="Times New Roman" w:cs="Times New Roman"/>
          <w:sz w:val="24"/>
          <w:szCs w:val="24"/>
        </w:rPr>
      </w:pPr>
    </w:p>
    <w:p w:rsidR="0001371C" w:rsidRDefault="0001371C" w:rsidP="00D574FF">
      <w:pPr>
        <w:spacing w:line="480" w:lineRule="auto"/>
        <w:jc w:val="center"/>
        <w:rPr>
          <w:rFonts w:ascii="Times New Roman" w:hAnsi="Times New Roman" w:cs="Times New Roman"/>
          <w:sz w:val="24"/>
          <w:szCs w:val="24"/>
        </w:rPr>
      </w:pPr>
    </w:p>
    <w:p w:rsidR="0001371C" w:rsidRDefault="0001371C" w:rsidP="00D574FF">
      <w:pPr>
        <w:spacing w:line="480" w:lineRule="auto"/>
        <w:jc w:val="center"/>
        <w:rPr>
          <w:rFonts w:ascii="Times New Roman" w:hAnsi="Times New Roman" w:cs="Times New Roman"/>
          <w:sz w:val="24"/>
          <w:szCs w:val="24"/>
        </w:rPr>
      </w:pPr>
    </w:p>
    <w:p w:rsidR="0001371C" w:rsidRDefault="0001371C" w:rsidP="00D574FF">
      <w:pPr>
        <w:spacing w:line="480" w:lineRule="auto"/>
        <w:jc w:val="center"/>
        <w:rPr>
          <w:rFonts w:ascii="Times New Roman" w:hAnsi="Times New Roman" w:cs="Times New Roman"/>
          <w:sz w:val="24"/>
          <w:szCs w:val="24"/>
        </w:rPr>
      </w:pPr>
    </w:p>
    <w:p w:rsidR="0001371C" w:rsidRDefault="0001371C" w:rsidP="00FA5F33">
      <w:pPr>
        <w:spacing w:line="480" w:lineRule="auto"/>
        <w:rPr>
          <w:rFonts w:ascii="Times New Roman" w:hAnsi="Times New Roman" w:cs="Times New Roman"/>
          <w:sz w:val="24"/>
          <w:szCs w:val="24"/>
        </w:rPr>
      </w:pPr>
    </w:p>
    <w:p w:rsidR="00D574FF" w:rsidRPr="00D574FF" w:rsidRDefault="00D574FF" w:rsidP="00D574FF">
      <w:pPr>
        <w:spacing w:line="480" w:lineRule="auto"/>
        <w:jc w:val="center"/>
        <w:rPr>
          <w:rFonts w:ascii="Times New Roman" w:hAnsi="Times New Roman" w:cs="Times New Roman"/>
          <w:sz w:val="24"/>
          <w:szCs w:val="24"/>
        </w:rPr>
      </w:pPr>
      <w:r w:rsidRPr="00D574FF">
        <w:rPr>
          <w:rFonts w:ascii="Times New Roman" w:hAnsi="Times New Roman" w:cs="Times New Roman"/>
          <w:sz w:val="24"/>
          <w:szCs w:val="24"/>
        </w:rPr>
        <w:lastRenderedPageBreak/>
        <w:t>Sears Holding</w:t>
      </w:r>
      <w:r w:rsidR="0001371C">
        <w:rPr>
          <w:rFonts w:ascii="Times New Roman" w:hAnsi="Times New Roman" w:cs="Times New Roman"/>
          <w:sz w:val="24"/>
          <w:szCs w:val="24"/>
        </w:rPr>
        <w:t xml:space="preserve"> Corporation</w:t>
      </w:r>
    </w:p>
    <w:p w:rsidR="00825327" w:rsidRPr="00D574FF" w:rsidRDefault="00825327" w:rsidP="00D574FF">
      <w:pPr>
        <w:spacing w:line="480" w:lineRule="auto"/>
        <w:rPr>
          <w:rFonts w:ascii="Times New Roman" w:hAnsi="Times New Roman" w:cs="Times New Roman"/>
          <w:b/>
          <w:sz w:val="24"/>
          <w:szCs w:val="24"/>
        </w:rPr>
      </w:pPr>
      <w:r w:rsidRPr="00D574FF">
        <w:rPr>
          <w:rFonts w:ascii="Times New Roman" w:hAnsi="Times New Roman" w:cs="Times New Roman"/>
          <w:b/>
          <w:sz w:val="24"/>
          <w:szCs w:val="24"/>
        </w:rPr>
        <w:t>Introduction</w:t>
      </w:r>
    </w:p>
    <w:p w:rsidR="00825327" w:rsidRPr="00D574FF" w:rsidRDefault="00825327" w:rsidP="00D574FF">
      <w:pPr>
        <w:spacing w:line="480" w:lineRule="auto"/>
        <w:ind w:firstLine="720"/>
        <w:rPr>
          <w:rFonts w:ascii="Times New Roman" w:hAnsi="Times New Roman" w:cs="Times New Roman"/>
          <w:sz w:val="24"/>
          <w:szCs w:val="24"/>
        </w:rPr>
      </w:pPr>
      <w:r w:rsidRPr="00D574FF">
        <w:rPr>
          <w:rFonts w:ascii="Times New Roman" w:hAnsi="Times New Roman" w:cs="Times New Roman"/>
          <w:sz w:val="24"/>
          <w:szCs w:val="24"/>
        </w:rPr>
        <w:t xml:space="preserve">Sears </w:t>
      </w:r>
      <w:r w:rsidR="009763AA" w:rsidRPr="00D574FF">
        <w:rPr>
          <w:rFonts w:ascii="Times New Roman" w:hAnsi="Times New Roman" w:cs="Times New Roman"/>
          <w:sz w:val="24"/>
          <w:szCs w:val="24"/>
        </w:rPr>
        <w:t xml:space="preserve">Holding Company is a major integrated dealer that deals with seamlessly uniting the physical and digital shopping experiences to provide services to its esteem clients whenever they require </w:t>
      </w:r>
      <w:r w:rsidR="00974EAF" w:rsidRPr="00D574FF">
        <w:rPr>
          <w:rFonts w:ascii="Times New Roman" w:hAnsi="Times New Roman" w:cs="Times New Roman"/>
          <w:sz w:val="24"/>
          <w:szCs w:val="24"/>
        </w:rPr>
        <w:t>shopping</w:t>
      </w:r>
      <w:r w:rsidR="00CE05C0" w:rsidRPr="00923685">
        <w:rPr>
          <w:rFonts w:ascii="Times New Roman" w:hAnsi="Times New Roman" w:cs="Times New Roman"/>
          <w:noProof/>
          <w:sz w:val="24"/>
          <w:szCs w:val="24"/>
        </w:rPr>
        <w:t>(</w:t>
      </w:r>
      <w:r w:rsidR="00CE05C0" w:rsidRPr="00923685">
        <w:rPr>
          <w:rStyle w:val="selectable"/>
          <w:rFonts w:ascii="Times New Roman" w:hAnsi="Times New Roman" w:cs="Times New Roman"/>
          <w:sz w:val="24"/>
          <w:szCs w:val="24"/>
        </w:rPr>
        <w:t>Maynard, 2013)</w:t>
      </w:r>
      <w:r w:rsidR="009763AA" w:rsidRPr="00D574FF">
        <w:rPr>
          <w:rFonts w:ascii="Times New Roman" w:hAnsi="Times New Roman" w:cs="Times New Roman"/>
          <w:sz w:val="24"/>
          <w:szCs w:val="24"/>
        </w:rPr>
        <w:t>. This Corporation is a social shopping podium giving its customers rewards for buying at the company as well as other marketing providers crossways categories significant to them.</w:t>
      </w:r>
      <w:r w:rsidR="00D41D33" w:rsidRPr="00D574FF">
        <w:rPr>
          <w:rFonts w:ascii="Times New Roman" w:hAnsi="Times New Roman" w:cs="Times New Roman"/>
          <w:sz w:val="24"/>
          <w:szCs w:val="24"/>
        </w:rPr>
        <w:t xml:space="preserve"> The corporation operates all through its subsidiaries, comprising </w:t>
      </w:r>
      <w:r w:rsidR="00BC3358" w:rsidRPr="00D574FF">
        <w:rPr>
          <w:rFonts w:ascii="Times New Roman" w:hAnsi="Times New Roman" w:cs="Times New Roman"/>
          <w:sz w:val="24"/>
          <w:szCs w:val="24"/>
        </w:rPr>
        <w:t>Kmart, Sears and Roebuck and Co entities across US.</w:t>
      </w:r>
    </w:p>
    <w:p w:rsidR="00BB0344" w:rsidRPr="00D574FF" w:rsidRDefault="00BB0344" w:rsidP="00D574FF">
      <w:pPr>
        <w:spacing w:line="480" w:lineRule="auto"/>
        <w:rPr>
          <w:rFonts w:ascii="Times New Roman" w:hAnsi="Times New Roman" w:cs="Times New Roman"/>
          <w:sz w:val="24"/>
          <w:szCs w:val="24"/>
        </w:rPr>
      </w:pPr>
      <w:r w:rsidRPr="00D574FF">
        <w:rPr>
          <w:rFonts w:ascii="Times New Roman" w:hAnsi="Times New Roman" w:cs="Times New Roman"/>
          <w:noProof/>
          <w:sz w:val="24"/>
          <w:szCs w:val="24"/>
        </w:rPr>
        <w:drawing>
          <wp:inline distT="0" distB="0" distL="0" distR="0">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DD75CD" w:rsidRPr="00D574FF" w:rsidRDefault="0003326C" w:rsidP="00D574FF">
      <w:pPr>
        <w:spacing w:line="480" w:lineRule="auto"/>
        <w:ind w:firstLine="720"/>
        <w:rPr>
          <w:rFonts w:ascii="Times New Roman" w:hAnsi="Times New Roman" w:cs="Times New Roman"/>
          <w:sz w:val="24"/>
          <w:szCs w:val="24"/>
        </w:rPr>
      </w:pPr>
      <w:r w:rsidRPr="00D574FF">
        <w:rPr>
          <w:rFonts w:ascii="Times New Roman" w:hAnsi="Times New Roman" w:cs="Times New Roman"/>
          <w:sz w:val="24"/>
          <w:szCs w:val="24"/>
        </w:rPr>
        <w:t>When examining the financial statements, it is clear that liabilities of the company declined from 14160 in 2015 to 10985 in 2018.</w:t>
      </w:r>
      <w:r w:rsidR="00F83434" w:rsidRPr="00D574FF">
        <w:rPr>
          <w:rFonts w:ascii="Times New Roman" w:hAnsi="Times New Roman" w:cs="Times New Roman"/>
          <w:sz w:val="24"/>
          <w:szCs w:val="24"/>
        </w:rPr>
        <w:t xml:space="preserve"> This means that Sears Holding has been paying off its debts using the cash it generates from its activities. Moreover, the decline in liabilities might have resulted from selling of the old </w:t>
      </w:r>
      <w:r w:rsidR="004A3966" w:rsidRPr="00D574FF">
        <w:rPr>
          <w:rFonts w:ascii="Times New Roman" w:hAnsi="Times New Roman" w:cs="Times New Roman"/>
          <w:sz w:val="24"/>
          <w:szCs w:val="24"/>
        </w:rPr>
        <w:t>equipment’s to</w:t>
      </w:r>
      <w:r w:rsidR="00F83434" w:rsidRPr="00D574FF">
        <w:rPr>
          <w:rFonts w:ascii="Times New Roman" w:hAnsi="Times New Roman" w:cs="Times New Roman"/>
          <w:sz w:val="24"/>
          <w:szCs w:val="24"/>
        </w:rPr>
        <w:t xml:space="preserve"> boost its liquidity status</w:t>
      </w:r>
      <w:r w:rsidR="00E53D4B" w:rsidRPr="00923685">
        <w:rPr>
          <w:rFonts w:ascii="Times New Roman" w:hAnsi="Times New Roman" w:cs="Times New Roman"/>
          <w:noProof/>
          <w:sz w:val="24"/>
          <w:szCs w:val="24"/>
        </w:rPr>
        <w:t>(</w:t>
      </w:r>
      <w:r w:rsidR="00E53D4B" w:rsidRPr="00923685">
        <w:rPr>
          <w:rStyle w:val="selectable"/>
          <w:rFonts w:ascii="Times New Roman" w:hAnsi="Times New Roman" w:cs="Times New Roman"/>
          <w:sz w:val="24"/>
          <w:szCs w:val="24"/>
        </w:rPr>
        <w:t>Maynard, 2013)</w:t>
      </w:r>
      <w:r w:rsidR="00F83434" w:rsidRPr="00D574FF">
        <w:rPr>
          <w:rFonts w:ascii="Times New Roman" w:hAnsi="Times New Roman" w:cs="Times New Roman"/>
          <w:sz w:val="24"/>
          <w:szCs w:val="24"/>
        </w:rPr>
        <w:t>.</w:t>
      </w:r>
      <w:r w:rsidR="00576101" w:rsidRPr="00D574FF">
        <w:rPr>
          <w:rFonts w:ascii="Times New Roman" w:hAnsi="Times New Roman" w:cs="Times New Roman"/>
          <w:sz w:val="24"/>
          <w:szCs w:val="24"/>
        </w:rPr>
        <w:t>Moreover, the total assets of the company declined from 13209 in 2015 to 7262 in 2018.</w:t>
      </w:r>
      <w:r w:rsidR="00AB0EAE" w:rsidRPr="00D574FF">
        <w:rPr>
          <w:rFonts w:ascii="Times New Roman" w:hAnsi="Times New Roman" w:cs="Times New Roman"/>
          <w:sz w:val="24"/>
          <w:szCs w:val="24"/>
        </w:rPr>
        <w:t xml:space="preserve">this indicates that the company sold assets that were not in use to salvage the creditors. Also </w:t>
      </w:r>
      <w:r w:rsidR="00C8677A" w:rsidRPr="00D574FF">
        <w:rPr>
          <w:rFonts w:ascii="Times New Roman" w:hAnsi="Times New Roman" w:cs="Times New Roman"/>
          <w:sz w:val="24"/>
          <w:szCs w:val="24"/>
        </w:rPr>
        <w:t>it</w:t>
      </w:r>
      <w:r w:rsidR="00AB0EAE" w:rsidRPr="00D574FF">
        <w:rPr>
          <w:rFonts w:ascii="Times New Roman" w:hAnsi="Times New Roman" w:cs="Times New Roman"/>
          <w:sz w:val="24"/>
          <w:szCs w:val="24"/>
        </w:rPr>
        <w:t xml:space="preserve"> means that the management was so insufficient in maintaining its assets.</w:t>
      </w:r>
    </w:p>
    <w:p w:rsidR="00BB0344" w:rsidRPr="00D574FF" w:rsidRDefault="00BB0344" w:rsidP="00D574FF">
      <w:pPr>
        <w:spacing w:line="480" w:lineRule="auto"/>
        <w:rPr>
          <w:rFonts w:ascii="Times New Roman" w:hAnsi="Times New Roman" w:cs="Times New Roman"/>
          <w:sz w:val="24"/>
          <w:szCs w:val="24"/>
        </w:rPr>
      </w:pPr>
      <w:r w:rsidRPr="00D574FF">
        <w:rPr>
          <w:rFonts w:ascii="Times New Roman" w:hAnsi="Times New Roman" w:cs="Times New Roman"/>
          <w:noProof/>
          <w:sz w:val="24"/>
          <w:szCs w:val="24"/>
        </w:rPr>
        <w:drawing>
          <wp:inline distT="0" distB="0" distL="0" distR="0">
            <wp:extent cx="4572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57109" w:rsidRPr="00D574FF" w:rsidRDefault="00857109" w:rsidP="00D574FF">
      <w:pPr>
        <w:spacing w:line="480" w:lineRule="auto"/>
        <w:rPr>
          <w:rFonts w:ascii="Times New Roman" w:hAnsi="Times New Roman" w:cs="Times New Roman"/>
          <w:sz w:val="24"/>
          <w:szCs w:val="24"/>
        </w:rPr>
      </w:pPr>
      <w:r w:rsidRPr="00D574FF">
        <w:rPr>
          <w:rFonts w:ascii="Times New Roman" w:hAnsi="Times New Roman" w:cs="Times New Roman"/>
          <w:noProof/>
          <w:sz w:val="24"/>
          <w:szCs w:val="24"/>
        </w:rPr>
        <w:drawing>
          <wp:inline distT="0" distB="0" distL="0" distR="0">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D78CE" w:rsidRPr="00D574FF" w:rsidRDefault="008D78CE" w:rsidP="00D574FF">
      <w:pPr>
        <w:spacing w:line="480" w:lineRule="auto"/>
        <w:ind w:firstLine="720"/>
        <w:rPr>
          <w:rFonts w:ascii="Times New Roman" w:hAnsi="Times New Roman" w:cs="Times New Roman"/>
          <w:sz w:val="24"/>
          <w:szCs w:val="24"/>
        </w:rPr>
      </w:pPr>
      <w:r w:rsidRPr="00D574FF">
        <w:rPr>
          <w:rFonts w:ascii="Times New Roman" w:hAnsi="Times New Roman" w:cs="Times New Roman"/>
          <w:sz w:val="24"/>
          <w:szCs w:val="24"/>
        </w:rPr>
        <w:t>From the graph</w:t>
      </w:r>
      <w:r w:rsidR="00D574FF" w:rsidRPr="00D574FF">
        <w:rPr>
          <w:rFonts w:ascii="Times New Roman" w:hAnsi="Times New Roman" w:cs="Times New Roman"/>
          <w:sz w:val="24"/>
          <w:szCs w:val="24"/>
        </w:rPr>
        <w:t>s</w:t>
      </w:r>
      <w:r w:rsidRPr="00D574FF">
        <w:rPr>
          <w:rFonts w:ascii="Times New Roman" w:hAnsi="Times New Roman" w:cs="Times New Roman"/>
          <w:sz w:val="24"/>
          <w:szCs w:val="24"/>
        </w:rPr>
        <w:t xml:space="preserve"> above, it is clear that sales(revenue) declined significantly from 2015 all the way to 2018.</w:t>
      </w:r>
      <w:r w:rsidR="00C1458D" w:rsidRPr="00D574FF">
        <w:rPr>
          <w:rFonts w:ascii="Times New Roman" w:hAnsi="Times New Roman" w:cs="Times New Roman"/>
          <w:sz w:val="24"/>
          <w:szCs w:val="24"/>
        </w:rPr>
        <w:t xml:space="preserve"> On the other hand, the net income for Sears Holding Corporation was negative all through 2015 to 2018. The trend was inconsistent as was result was reported in 2017 and an improved result was in 2018. </w:t>
      </w:r>
      <w:r w:rsidR="00DD75CD" w:rsidRPr="00D574FF">
        <w:rPr>
          <w:rFonts w:ascii="Times New Roman" w:hAnsi="Times New Roman" w:cs="Times New Roman"/>
          <w:sz w:val="24"/>
          <w:szCs w:val="24"/>
        </w:rPr>
        <w:t>These scenarios indicate poor</w:t>
      </w:r>
      <w:r w:rsidR="00C1458D" w:rsidRPr="00D574FF">
        <w:rPr>
          <w:rFonts w:ascii="Times New Roman" w:hAnsi="Times New Roman" w:cs="Times New Roman"/>
          <w:sz w:val="24"/>
          <w:szCs w:val="24"/>
        </w:rPr>
        <w:t xml:space="preserve"> performance by the management and therefore they sho</w:t>
      </w:r>
      <w:r w:rsidR="00E21E77" w:rsidRPr="00D574FF">
        <w:rPr>
          <w:rFonts w:ascii="Times New Roman" w:hAnsi="Times New Roman" w:cs="Times New Roman"/>
          <w:sz w:val="24"/>
          <w:szCs w:val="24"/>
        </w:rPr>
        <w:t>uld seek modern techniques for them to improve the situation</w:t>
      </w:r>
      <w:r w:rsidR="004C363A" w:rsidRPr="00923685">
        <w:rPr>
          <w:rFonts w:ascii="Times New Roman" w:hAnsi="Times New Roman" w:cs="Times New Roman"/>
          <w:noProof/>
          <w:sz w:val="24"/>
          <w:szCs w:val="24"/>
        </w:rPr>
        <w:t>(</w:t>
      </w:r>
      <w:r w:rsidR="004C363A" w:rsidRPr="00923685">
        <w:rPr>
          <w:rStyle w:val="selectable"/>
          <w:rFonts w:ascii="Times New Roman" w:hAnsi="Times New Roman" w:cs="Times New Roman"/>
          <w:sz w:val="24"/>
          <w:szCs w:val="24"/>
        </w:rPr>
        <w:t>Maynard, 2013)</w:t>
      </w:r>
      <w:r w:rsidR="00E21E77" w:rsidRPr="00D574FF">
        <w:rPr>
          <w:rFonts w:ascii="Times New Roman" w:hAnsi="Times New Roman" w:cs="Times New Roman"/>
          <w:sz w:val="24"/>
          <w:szCs w:val="24"/>
        </w:rPr>
        <w:t>.</w:t>
      </w:r>
    </w:p>
    <w:p w:rsidR="00DD75CD" w:rsidRPr="00D574FF" w:rsidRDefault="00DD75CD" w:rsidP="00D574FF">
      <w:pPr>
        <w:spacing w:line="480" w:lineRule="auto"/>
        <w:ind w:firstLine="720"/>
        <w:rPr>
          <w:rFonts w:ascii="Times New Roman" w:hAnsi="Times New Roman" w:cs="Times New Roman"/>
          <w:sz w:val="24"/>
          <w:szCs w:val="24"/>
        </w:rPr>
      </w:pPr>
      <w:r w:rsidRPr="00D574FF">
        <w:rPr>
          <w:rFonts w:ascii="Times New Roman" w:hAnsi="Times New Roman" w:cs="Times New Roman"/>
          <w:sz w:val="24"/>
          <w:szCs w:val="24"/>
        </w:rPr>
        <w:t xml:space="preserve">From 2015 to 2018, Sears Holding Corporation hasn’t paid any dividends to its shareholders.  </w:t>
      </w:r>
      <w:r w:rsidR="00A7555B" w:rsidRPr="00D574FF">
        <w:rPr>
          <w:rFonts w:ascii="Times New Roman" w:hAnsi="Times New Roman" w:cs="Times New Roman"/>
          <w:sz w:val="24"/>
          <w:szCs w:val="24"/>
        </w:rPr>
        <w:t>Lastly, the company used its cash in investing in plant, property and equipment, in acquisitions and in maturities of investments</w:t>
      </w:r>
      <w:r w:rsidR="003F6466" w:rsidRPr="00923685">
        <w:rPr>
          <w:rFonts w:ascii="Times New Roman" w:hAnsi="Times New Roman" w:cs="Times New Roman"/>
          <w:noProof/>
          <w:sz w:val="24"/>
          <w:szCs w:val="24"/>
        </w:rPr>
        <w:t>(</w:t>
      </w:r>
      <w:r w:rsidR="003F6466" w:rsidRPr="00923685">
        <w:rPr>
          <w:rStyle w:val="selectable"/>
          <w:rFonts w:ascii="Times New Roman" w:hAnsi="Times New Roman" w:cs="Times New Roman"/>
          <w:sz w:val="24"/>
          <w:szCs w:val="24"/>
        </w:rPr>
        <w:t>Maynard, 2013)</w:t>
      </w:r>
      <w:r w:rsidR="00A7555B" w:rsidRPr="00D574FF">
        <w:rPr>
          <w:rFonts w:ascii="Times New Roman" w:hAnsi="Times New Roman" w:cs="Times New Roman"/>
          <w:sz w:val="24"/>
          <w:szCs w:val="24"/>
        </w:rPr>
        <w:t>.</w:t>
      </w:r>
    </w:p>
    <w:p w:rsidR="00797573" w:rsidRPr="00D574FF" w:rsidRDefault="00797573" w:rsidP="00D574FF">
      <w:pPr>
        <w:spacing w:line="480" w:lineRule="auto"/>
        <w:rPr>
          <w:rFonts w:ascii="Times New Roman" w:hAnsi="Times New Roman" w:cs="Times New Roman"/>
          <w:sz w:val="24"/>
          <w:szCs w:val="24"/>
        </w:rPr>
      </w:pPr>
      <w:r w:rsidRPr="00D574FF">
        <w:rPr>
          <w:rFonts w:ascii="Times New Roman" w:hAnsi="Times New Roman" w:cs="Times New Roman"/>
          <w:sz w:val="24"/>
          <w:szCs w:val="24"/>
        </w:rPr>
        <w:t xml:space="preserve">Ratio computations </w:t>
      </w:r>
    </w:p>
    <w:tbl>
      <w:tblPr>
        <w:tblStyle w:val="TableGrid"/>
        <w:tblW w:w="0" w:type="auto"/>
        <w:tblLayout w:type="fixed"/>
        <w:tblLook w:val="04A0"/>
      </w:tblPr>
      <w:tblGrid>
        <w:gridCol w:w="1636"/>
        <w:gridCol w:w="1892"/>
        <w:gridCol w:w="1080"/>
        <w:gridCol w:w="990"/>
        <w:gridCol w:w="1194"/>
        <w:gridCol w:w="984"/>
      </w:tblGrid>
      <w:tr w:rsidR="00FA5F33" w:rsidRPr="00D574FF" w:rsidTr="00FA5F33">
        <w:trPr>
          <w:trHeight w:val="315"/>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p>
        </w:tc>
        <w:tc>
          <w:tcPr>
            <w:tcW w:w="1892" w:type="dxa"/>
            <w:noWrap/>
            <w:hideMark/>
          </w:tcPr>
          <w:p w:rsidR="00F84998" w:rsidRPr="00D574FF" w:rsidRDefault="00F84998" w:rsidP="00FA5F33">
            <w:pPr>
              <w:spacing w:line="360" w:lineRule="auto"/>
              <w:rPr>
                <w:rFonts w:ascii="Times New Roman" w:hAnsi="Times New Roman" w:cs="Times New Roman"/>
                <w:sz w:val="24"/>
                <w:szCs w:val="24"/>
              </w:rPr>
            </w:pP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b/>
                <w:bCs/>
                <w:i/>
                <w:iCs/>
                <w:sz w:val="24"/>
                <w:szCs w:val="24"/>
              </w:rPr>
            </w:pPr>
            <w:r w:rsidRPr="00D574FF">
              <w:rPr>
                <w:rFonts w:ascii="Times New Roman" w:hAnsi="Times New Roman" w:cs="Times New Roman"/>
                <w:b/>
                <w:bCs/>
                <w:i/>
                <w:iCs/>
                <w:sz w:val="24"/>
                <w:szCs w:val="24"/>
              </w:rPr>
              <w:t>profitability ratios</w:t>
            </w:r>
          </w:p>
        </w:tc>
        <w:tc>
          <w:tcPr>
            <w:tcW w:w="1892" w:type="dxa"/>
            <w:noWrap/>
            <w:hideMark/>
          </w:tcPr>
          <w:p w:rsidR="00F84998" w:rsidRPr="00D574FF" w:rsidRDefault="00F84998" w:rsidP="00FA5F33">
            <w:pPr>
              <w:spacing w:line="360" w:lineRule="auto"/>
              <w:rPr>
                <w:rFonts w:ascii="Times New Roman" w:hAnsi="Times New Roman" w:cs="Times New Roman"/>
                <w:b/>
                <w:bCs/>
                <w:sz w:val="24"/>
                <w:szCs w:val="24"/>
              </w:rPr>
            </w:pPr>
            <w:r w:rsidRPr="00D574FF">
              <w:rPr>
                <w:rFonts w:ascii="Times New Roman" w:hAnsi="Times New Roman" w:cs="Times New Roman"/>
                <w:b/>
                <w:bCs/>
                <w:sz w:val="24"/>
                <w:szCs w:val="24"/>
              </w:rPr>
              <w:t>formulae</w:t>
            </w:r>
          </w:p>
        </w:tc>
        <w:tc>
          <w:tcPr>
            <w:tcW w:w="1080" w:type="dxa"/>
            <w:noWrap/>
            <w:hideMark/>
          </w:tcPr>
          <w:p w:rsidR="00F84998" w:rsidRPr="00D574FF" w:rsidRDefault="00F84998" w:rsidP="00FA5F33">
            <w:pPr>
              <w:spacing w:line="360" w:lineRule="auto"/>
              <w:rPr>
                <w:rFonts w:ascii="Times New Roman" w:hAnsi="Times New Roman" w:cs="Times New Roman"/>
                <w:b/>
                <w:bCs/>
                <w:sz w:val="24"/>
                <w:szCs w:val="24"/>
              </w:rPr>
            </w:pPr>
            <w:r w:rsidRPr="00D574FF">
              <w:rPr>
                <w:rFonts w:ascii="Times New Roman" w:hAnsi="Times New Roman" w:cs="Times New Roman"/>
                <w:b/>
                <w:bCs/>
                <w:sz w:val="24"/>
                <w:szCs w:val="24"/>
              </w:rPr>
              <w:t>2015</w:t>
            </w:r>
          </w:p>
        </w:tc>
        <w:tc>
          <w:tcPr>
            <w:tcW w:w="990" w:type="dxa"/>
            <w:noWrap/>
            <w:hideMark/>
          </w:tcPr>
          <w:p w:rsidR="00F84998" w:rsidRPr="00D574FF" w:rsidRDefault="00F84998" w:rsidP="00FA5F33">
            <w:pPr>
              <w:spacing w:line="360" w:lineRule="auto"/>
              <w:rPr>
                <w:rFonts w:ascii="Times New Roman" w:hAnsi="Times New Roman" w:cs="Times New Roman"/>
                <w:b/>
                <w:bCs/>
                <w:sz w:val="24"/>
                <w:szCs w:val="24"/>
              </w:rPr>
            </w:pPr>
            <w:r w:rsidRPr="00D574FF">
              <w:rPr>
                <w:rFonts w:ascii="Times New Roman" w:hAnsi="Times New Roman" w:cs="Times New Roman"/>
                <w:b/>
                <w:bCs/>
                <w:sz w:val="24"/>
                <w:szCs w:val="24"/>
              </w:rPr>
              <w:t>2016</w:t>
            </w:r>
          </w:p>
        </w:tc>
        <w:tc>
          <w:tcPr>
            <w:tcW w:w="1194" w:type="dxa"/>
            <w:noWrap/>
            <w:hideMark/>
          </w:tcPr>
          <w:p w:rsidR="00F84998" w:rsidRPr="00D574FF" w:rsidRDefault="00F84998" w:rsidP="00FA5F33">
            <w:pPr>
              <w:spacing w:line="360" w:lineRule="auto"/>
              <w:rPr>
                <w:rFonts w:ascii="Times New Roman" w:hAnsi="Times New Roman" w:cs="Times New Roman"/>
                <w:b/>
                <w:bCs/>
                <w:sz w:val="24"/>
                <w:szCs w:val="24"/>
              </w:rPr>
            </w:pPr>
            <w:r w:rsidRPr="00D574FF">
              <w:rPr>
                <w:rFonts w:ascii="Times New Roman" w:hAnsi="Times New Roman" w:cs="Times New Roman"/>
                <w:b/>
                <w:bCs/>
                <w:sz w:val="24"/>
                <w:szCs w:val="24"/>
              </w:rPr>
              <w:t>2017</w:t>
            </w:r>
          </w:p>
        </w:tc>
        <w:tc>
          <w:tcPr>
            <w:tcW w:w="984" w:type="dxa"/>
            <w:noWrap/>
            <w:hideMark/>
          </w:tcPr>
          <w:p w:rsidR="00F84998" w:rsidRPr="00D574FF" w:rsidRDefault="00F84998" w:rsidP="00FA5F33">
            <w:pPr>
              <w:spacing w:line="360" w:lineRule="auto"/>
              <w:rPr>
                <w:rFonts w:ascii="Times New Roman" w:hAnsi="Times New Roman" w:cs="Times New Roman"/>
                <w:b/>
                <w:bCs/>
                <w:sz w:val="24"/>
                <w:szCs w:val="24"/>
              </w:rPr>
            </w:pPr>
            <w:r w:rsidRPr="00D574FF">
              <w:rPr>
                <w:rFonts w:ascii="Times New Roman" w:hAnsi="Times New Roman" w:cs="Times New Roman"/>
                <w:b/>
                <w:bCs/>
                <w:sz w:val="24"/>
                <w:szCs w:val="24"/>
              </w:rPr>
              <w:t>2018</w:t>
            </w: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 xml:space="preserve">net profit margin </w:t>
            </w:r>
          </w:p>
        </w:tc>
        <w:tc>
          <w:tcPr>
            <w:tcW w:w="1892"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net profit/net sales</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-5.39%</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-4.49%</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-10.03%</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-2.29%</w:t>
            </w: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return on assets</w:t>
            </w:r>
          </w:p>
        </w:tc>
        <w:tc>
          <w:tcPr>
            <w:tcW w:w="1892"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net profit/total assets</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-12.73%</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-9.96%</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-23.72%</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-5.27%</w:t>
            </w: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return on equity</w:t>
            </w:r>
          </w:p>
        </w:tc>
        <w:tc>
          <w:tcPr>
            <w:tcW w:w="1892"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net profit/shareholders’ equity</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176.87%</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57.51%</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58.08%</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10.29%</w:t>
            </w: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Gross profit margin</w:t>
            </w:r>
          </w:p>
        </w:tc>
        <w:tc>
          <w:tcPr>
            <w:tcW w:w="1892"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Gross profit/sales</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22.91%</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23.11%</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21.17%</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21.12%</w:t>
            </w: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b/>
                <w:bCs/>
                <w:i/>
                <w:iCs/>
                <w:sz w:val="24"/>
                <w:szCs w:val="24"/>
              </w:rPr>
            </w:pPr>
            <w:r w:rsidRPr="00D574FF">
              <w:rPr>
                <w:rFonts w:ascii="Times New Roman" w:hAnsi="Times New Roman" w:cs="Times New Roman"/>
                <w:b/>
                <w:bCs/>
                <w:i/>
                <w:iCs/>
                <w:sz w:val="24"/>
                <w:szCs w:val="24"/>
              </w:rPr>
              <w:t>leverage ratios</w:t>
            </w:r>
          </w:p>
        </w:tc>
        <w:tc>
          <w:tcPr>
            <w:tcW w:w="1892"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 </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debt-equity ratio</w:t>
            </w:r>
          </w:p>
        </w:tc>
        <w:tc>
          <w:tcPr>
            <w:tcW w:w="1892"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total liabilities/total equity</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-14.89</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-6.78</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-3.45</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-2.95</w:t>
            </w: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Long term debt ratio</w:t>
            </w:r>
          </w:p>
        </w:tc>
        <w:tc>
          <w:tcPr>
            <w:tcW w:w="1892"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long term debt/total assets</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0.14</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0.15</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0.18</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0.20</w:t>
            </w: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Total debt ratio</w:t>
            </w:r>
          </w:p>
        </w:tc>
        <w:tc>
          <w:tcPr>
            <w:tcW w:w="1892"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Total liabilities/total assets</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1.07</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1.17</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1.41</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1.51</w:t>
            </w: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Time interest earned</w:t>
            </w:r>
          </w:p>
        </w:tc>
        <w:tc>
          <w:tcPr>
            <w:tcW w:w="1892"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EBIT/ interest expense</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-6.94</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-6.59</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-6.24</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-5.14</w:t>
            </w: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b/>
                <w:bCs/>
                <w:i/>
                <w:iCs/>
                <w:sz w:val="24"/>
                <w:szCs w:val="24"/>
              </w:rPr>
            </w:pPr>
            <w:r w:rsidRPr="00D574FF">
              <w:rPr>
                <w:rFonts w:ascii="Times New Roman" w:hAnsi="Times New Roman" w:cs="Times New Roman"/>
                <w:b/>
                <w:bCs/>
                <w:i/>
                <w:iCs/>
                <w:sz w:val="24"/>
                <w:szCs w:val="24"/>
              </w:rPr>
              <w:t>Liquidity ratios</w:t>
            </w:r>
          </w:p>
        </w:tc>
        <w:tc>
          <w:tcPr>
            <w:tcW w:w="1892"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 </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p>
        </w:tc>
      </w:tr>
      <w:tr w:rsidR="00FA5F33" w:rsidRPr="00D574FF" w:rsidTr="00FA5F33">
        <w:trPr>
          <w:trHeight w:val="330"/>
        </w:trPr>
        <w:tc>
          <w:tcPr>
            <w:tcW w:w="1636"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current ratio</w:t>
            </w:r>
          </w:p>
        </w:tc>
        <w:tc>
          <w:tcPr>
            <w:tcW w:w="1892"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current assets/current liabilities</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0.96</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1.11</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1.07</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0.78</w:t>
            </w:r>
          </w:p>
        </w:tc>
      </w:tr>
      <w:tr w:rsidR="00FA5F33" w:rsidRPr="00D574FF" w:rsidTr="00FA5F33">
        <w:trPr>
          <w:trHeight w:val="960"/>
        </w:trPr>
        <w:tc>
          <w:tcPr>
            <w:tcW w:w="1636"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Quick ratio</w:t>
            </w:r>
          </w:p>
        </w:tc>
        <w:tc>
          <w:tcPr>
            <w:tcW w:w="1892"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(Cash+ cash equivalent+ short-term investments + current receivables)/current liabilities</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0.09</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0.10</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0.14</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0.09</w:t>
            </w:r>
          </w:p>
        </w:tc>
      </w:tr>
      <w:tr w:rsidR="00FA5F33" w:rsidRPr="00D574FF" w:rsidTr="00FA5F33">
        <w:trPr>
          <w:trHeight w:val="645"/>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Cash ratio</w:t>
            </w:r>
          </w:p>
        </w:tc>
        <w:tc>
          <w:tcPr>
            <w:tcW w:w="1892"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(cash + cash equivalents)/total current liabilities</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0.02</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0.03</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0.04</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0.02</w:t>
            </w: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Net working capital to total assets</w:t>
            </w:r>
          </w:p>
        </w:tc>
        <w:tc>
          <w:tcPr>
            <w:tcW w:w="1892"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Current assets-current liabilities</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-213.00</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607.00</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315.00</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-1103.00</w:t>
            </w:r>
          </w:p>
        </w:tc>
      </w:tr>
      <w:tr w:rsidR="00FA5F33" w:rsidRPr="00D574FF" w:rsidTr="00FA5F33">
        <w:trPr>
          <w:trHeight w:val="330"/>
        </w:trPr>
        <w:tc>
          <w:tcPr>
            <w:tcW w:w="1636" w:type="dxa"/>
            <w:noWrap/>
            <w:hideMark/>
          </w:tcPr>
          <w:p w:rsidR="00F84998" w:rsidRPr="00D574FF" w:rsidRDefault="00F84998" w:rsidP="00FA5F33">
            <w:pPr>
              <w:spacing w:line="360" w:lineRule="auto"/>
              <w:rPr>
                <w:rFonts w:ascii="Times New Roman" w:hAnsi="Times New Roman" w:cs="Times New Roman"/>
                <w:b/>
                <w:bCs/>
                <w:i/>
                <w:iCs/>
                <w:sz w:val="24"/>
                <w:szCs w:val="24"/>
              </w:rPr>
            </w:pPr>
            <w:r w:rsidRPr="00D574FF">
              <w:rPr>
                <w:rFonts w:ascii="Times New Roman" w:hAnsi="Times New Roman" w:cs="Times New Roman"/>
                <w:b/>
                <w:bCs/>
                <w:i/>
                <w:iCs/>
                <w:sz w:val="24"/>
                <w:szCs w:val="24"/>
              </w:rPr>
              <w:t>efficiency ratios</w:t>
            </w:r>
          </w:p>
        </w:tc>
        <w:tc>
          <w:tcPr>
            <w:tcW w:w="1892"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 </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p>
        </w:tc>
      </w:tr>
      <w:tr w:rsidR="00FA5F33" w:rsidRPr="00D574FF" w:rsidTr="00FA5F33">
        <w:trPr>
          <w:trHeight w:val="330"/>
        </w:trPr>
        <w:tc>
          <w:tcPr>
            <w:tcW w:w="1636"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Asset turnover ratio</w:t>
            </w:r>
          </w:p>
        </w:tc>
        <w:tc>
          <w:tcPr>
            <w:tcW w:w="1892"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Net sales/average total assets</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1.98</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2.05</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2.14</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2.01</w:t>
            </w:r>
          </w:p>
        </w:tc>
      </w:tr>
      <w:tr w:rsidR="00FA5F33" w:rsidRPr="00D574FF" w:rsidTr="00FA5F33">
        <w:trPr>
          <w:trHeight w:val="645"/>
        </w:trPr>
        <w:tc>
          <w:tcPr>
            <w:tcW w:w="1636"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Average collection period</w:t>
            </w:r>
          </w:p>
        </w:tc>
        <w:tc>
          <w:tcPr>
            <w:tcW w:w="1892"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average accounts receivables/(annual sales/365)</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5.74</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6.15</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7.30</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8.84</w:t>
            </w:r>
          </w:p>
        </w:tc>
      </w:tr>
      <w:tr w:rsidR="00FA5F33" w:rsidRPr="00D574FF" w:rsidTr="00FA5F33">
        <w:trPr>
          <w:trHeight w:val="645"/>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 xml:space="preserve">Inventory turnover </w:t>
            </w:r>
          </w:p>
        </w:tc>
        <w:tc>
          <w:tcPr>
            <w:tcW w:w="1892"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cost of goods sold/average inventory</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4.02</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3.82</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3.82</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3.90</w:t>
            </w:r>
          </w:p>
        </w:tc>
      </w:tr>
      <w:tr w:rsidR="00FA5F33" w:rsidRPr="00D574FF" w:rsidTr="00FA5F33">
        <w:trPr>
          <w:trHeight w:val="630"/>
        </w:trPr>
        <w:tc>
          <w:tcPr>
            <w:tcW w:w="1636"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Days sales outstanding</w:t>
            </w:r>
          </w:p>
        </w:tc>
        <w:tc>
          <w:tcPr>
            <w:tcW w:w="1892" w:type="dxa"/>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(account receivables/net credit sales)x 365</w:t>
            </w:r>
          </w:p>
        </w:tc>
        <w:tc>
          <w:tcPr>
            <w:tcW w:w="108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5.02</w:t>
            </w:r>
          </w:p>
        </w:tc>
        <w:tc>
          <w:tcPr>
            <w:tcW w:w="990"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6.08</w:t>
            </w:r>
          </w:p>
        </w:tc>
        <w:tc>
          <w:tcPr>
            <w:tcW w:w="119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7.68</w:t>
            </w:r>
          </w:p>
        </w:tc>
        <w:tc>
          <w:tcPr>
            <w:tcW w:w="984" w:type="dxa"/>
            <w:noWrap/>
            <w:hideMark/>
          </w:tcPr>
          <w:p w:rsidR="00F84998" w:rsidRPr="00D574FF" w:rsidRDefault="00F84998" w:rsidP="00FA5F33">
            <w:pPr>
              <w:spacing w:line="360" w:lineRule="auto"/>
              <w:rPr>
                <w:rFonts w:ascii="Times New Roman" w:hAnsi="Times New Roman" w:cs="Times New Roman"/>
                <w:sz w:val="24"/>
                <w:szCs w:val="24"/>
              </w:rPr>
            </w:pPr>
            <w:r w:rsidRPr="00D574FF">
              <w:rPr>
                <w:rFonts w:ascii="Times New Roman" w:hAnsi="Times New Roman" w:cs="Times New Roman"/>
                <w:sz w:val="24"/>
                <w:szCs w:val="24"/>
              </w:rPr>
              <w:t>7.50</w:t>
            </w:r>
          </w:p>
        </w:tc>
      </w:tr>
    </w:tbl>
    <w:p w:rsidR="003F6466" w:rsidRDefault="003F6466" w:rsidP="00D574FF">
      <w:pPr>
        <w:spacing w:line="480" w:lineRule="auto"/>
        <w:rPr>
          <w:rFonts w:ascii="Times New Roman" w:hAnsi="Times New Roman" w:cs="Times New Roman"/>
          <w:sz w:val="24"/>
          <w:szCs w:val="24"/>
        </w:rPr>
      </w:pPr>
    </w:p>
    <w:p w:rsidR="003F6466" w:rsidRPr="00923685" w:rsidRDefault="003F6466" w:rsidP="003F6466">
      <w:pPr>
        <w:spacing w:line="480" w:lineRule="auto"/>
        <w:jc w:val="center"/>
        <w:rPr>
          <w:rFonts w:ascii="Times New Roman" w:hAnsi="Times New Roman" w:cs="Times New Roman"/>
          <w:sz w:val="24"/>
          <w:szCs w:val="24"/>
        </w:rPr>
      </w:pPr>
      <w:r w:rsidRPr="00923685">
        <w:rPr>
          <w:rFonts w:ascii="Times New Roman" w:hAnsi="Times New Roman" w:cs="Times New Roman"/>
          <w:sz w:val="24"/>
          <w:szCs w:val="24"/>
        </w:rPr>
        <w:t>References</w:t>
      </w:r>
    </w:p>
    <w:p w:rsidR="003F6466" w:rsidRPr="00923685" w:rsidRDefault="003F6466" w:rsidP="003F6466">
      <w:pPr>
        <w:spacing w:line="480" w:lineRule="auto"/>
        <w:rPr>
          <w:rStyle w:val="selectable"/>
          <w:rFonts w:ascii="Times New Roman" w:hAnsi="Times New Roman" w:cs="Times New Roman"/>
          <w:sz w:val="24"/>
          <w:szCs w:val="24"/>
        </w:rPr>
      </w:pPr>
      <w:r w:rsidRPr="00923685">
        <w:rPr>
          <w:rStyle w:val="selectable"/>
          <w:rFonts w:ascii="Times New Roman" w:hAnsi="Times New Roman" w:cs="Times New Roman"/>
          <w:sz w:val="24"/>
          <w:szCs w:val="24"/>
        </w:rPr>
        <w:t xml:space="preserve">Maynard, J. (2013). </w:t>
      </w:r>
      <w:r w:rsidRPr="00923685">
        <w:rPr>
          <w:rStyle w:val="selectable"/>
          <w:rFonts w:ascii="Times New Roman" w:hAnsi="Times New Roman" w:cs="Times New Roman"/>
          <w:i/>
          <w:iCs/>
          <w:sz w:val="24"/>
          <w:szCs w:val="24"/>
        </w:rPr>
        <w:t>Financial accounting, reporting, and analysis</w:t>
      </w:r>
      <w:r w:rsidRPr="00923685">
        <w:rPr>
          <w:rStyle w:val="selectable"/>
          <w:rFonts w:ascii="Times New Roman" w:hAnsi="Times New Roman" w:cs="Times New Roman"/>
          <w:sz w:val="24"/>
          <w:szCs w:val="24"/>
        </w:rPr>
        <w:t>. Oxford: Oxford University Press</w:t>
      </w:r>
    </w:p>
    <w:p w:rsidR="003F6466" w:rsidRDefault="00EE0154" w:rsidP="00D574FF">
      <w:pPr>
        <w:spacing w:line="480" w:lineRule="auto"/>
      </w:pPr>
      <w:hyperlink r:id="rId9" w:history="1">
        <w:r w:rsidR="00341789" w:rsidRPr="007119F3">
          <w:rPr>
            <w:rStyle w:val="Hyperlink"/>
          </w:rPr>
          <w:t>http://financials.morningstar.com/cashflow/cf.html?t=SHLDQ&amp;region=usa&amp;culture=en-US</w:t>
        </w:r>
      </w:hyperlink>
    </w:p>
    <w:p w:rsidR="00341789" w:rsidRDefault="00EE0154" w:rsidP="00D574FF">
      <w:pPr>
        <w:spacing w:line="480" w:lineRule="auto"/>
      </w:pPr>
      <w:hyperlink r:id="rId10" w:history="1">
        <w:r w:rsidR="00341789" w:rsidRPr="007119F3">
          <w:rPr>
            <w:rStyle w:val="Hyperlink"/>
          </w:rPr>
          <w:t>http://financials.morningstar.com/balancesheet/bs.html?t=SHLDQ&amp;region=usa&amp;culture=en-US</w:t>
        </w:r>
      </w:hyperlink>
    </w:p>
    <w:bookmarkStart w:id="0" w:name="_GoBack"/>
    <w:bookmarkEnd w:id="0"/>
    <w:p w:rsidR="00341789" w:rsidRPr="00D574FF" w:rsidRDefault="00EE0154" w:rsidP="00D574FF">
      <w:pPr>
        <w:spacing w:line="480" w:lineRule="auto"/>
        <w:rPr>
          <w:rFonts w:ascii="Times New Roman" w:hAnsi="Times New Roman" w:cs="Times New Roman"/>
          <w:sz w:val="24"/>
          <w:szCs w:val="24"/>
        </w:rPr>
      </w:pPr>
      <w:r>
        <w:fldChar w:fldCharType="begin"/>
      </w:r>
      <w:r w:rsidR="00341789">
        <w:instrText xml:space="preserve"> HYPERLINK "</w:instrText>
      </w:r>
      <w:r w:rsidR="00341789" w:rsidRPr="00341789">
        <w:instrText>https://financials.morningstar.com/incomestatement/is.html?t=0P000004VG&amp;culture=en&amp;ops=clear</w:instrText>
      </w:r>
      <w:r w:rsidR="00341789">
        <w:instrText xml:space="preserve">" </w:instrText>
      </w:r>
      <w:r>
        <w:fldChar w:fldCharType="separate"/>
      </w:r>
      <w:r w:rsidR="00341789" w:rsidRPr="007119F3">
        <w:rPr>
          <w:rStyle w:val="Hyperlink"/>
        </w:rPr>
        <w:t>https://financials.morningstar.com/incomestatement/is.html?t=0P000004VG&amp;culture=en&amp;ops=clear</w:t>
      </w:r>
      <w:r>
        <w:fldChar w:fldCharType="end"/>
      </w:r>
    </w:p>
    <w:sectPr w:rsidR="00341789" w:rsidRPr="00D574FF" w:rsidSect="00415AF1">
      <w:headerReference w:type="default" r:id="rId11"/>
      <w:pgSz w:w="10440" w:h="15120" w:code="7"/>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5BD0" w:rsidRDefault="00E45BD0" w:rsidP="0001371C">
      <w:pPr>
        <w:spacing w:after="0" w:line="240" w:lineRule="auto"/>
      </w:pPr>
      <w:r>
        <w:separator/>
      </w:r>
    </w:p>
  </w:endnote>
  <w:endnote w:type="continuationSeparator" w:id="1">
    <w:p w:rsidR="00E45BD0" w:rsidRDefault="00E45BD0" w:rsidP="000137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5BD0" w:rsidRDefault="00E45BD0" w:rsidP="0001371C">
      <w:pPr>
        <w:spacing w:after="0" w:line="240" w:lineRule="auto"/>
      </w:pPr>
      <w:r>
        <w:separator/>
      </w:r>
    </w:p>
  </w:footnote>
  <w:footnote w:type="continuationSeparator" w:id="1">
    <w:p w:rsidR="00E45BD0" w:rsidRDefault="00E45BD0" w:rsidP="000137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1C" w:rsidRPr="0001371C" w:rsidRDefault="0001371C" w:rsidP="0001371C">
    <w:pPr>
      <w:spacing w:line="480" w:lineRule="auto"/>
      <w:jc w:val="center"/>
      <w:rPr>
        <w:rFonts w:ascii="Times New Roman" w:hAnsi="Times New Roman" w:cs="Times New Roman"/>
        <w:sz w:val="24"/>
        <w:szCs w:val="24"/>
      </w:rPr>
    </w:pPr>
    <w:r w:rsidRPr="00D574FF">
      <w:rPr>
        <w:rFonts w:ascii="Times New Roman" w:hAnsi="Times New Roman" w:cs="Times New Roman"/>
        <w:sz w:val="24"/>
        <w:szCs w:val="24"/>
      </w:rPr>
      <w:t>SEARS HOLDING</w:t>
    </w:r>
    <w:r>
      <w:rPr>
        <w:rFonts w:ascii="Times New Roman" w:hAnsi="Times New Roman" w:cs="Times New Roman"/>
        <w:sz w:val="24"/>
        <w:szCs w:val="24"/>
      </w:rPr>
      <w:t xml:space="preserve"> CORPORATION</w:t>
    </w:r>
    <w:r>
      <w:ptab w:relativeTo="margin" w:alignment="right" w:leader="none"/>
    </w:r>
    <w:r w:rsidR="00EE0154">
      <w:fldChar w:fldCharType="begin"/>
    </w:r>
    <w:r>
      <w:instrText xml:space="preserve"> PAGE  \* Arabic  \* MERGEFORMAT </w:instrText>
    </w:r>
    <w:r w:rsidR="00EE0154">
      <w:fldChar w:fldCharType="separate"/>
    </w:r>
    <w:r w:rsidR="00E45BD0">
      <w:rPr>
        <w:noProof/>
      </w:rPr>
      <w:t>1</w:t>
    </w:r>
    <w:r w:rsidR="00EE0154">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DD3B1F"/>
    <w:rsid w:val="0001371C"/>
    <w:rsid w:val="0003326C"/>
    <w:rsid w:val="000979E4"/>
    <w:rsid w:val="000A2E88"/>
    <w:rsid w:val="00341789"/>
    <w:rsid w:val="003E56C9"/>
    <w:rsid w:val="003F6466"/>
    <w:rsid w:val="00415AF1"/>
    <w:rsid w:val="004A3966"/>
    <w:rsid w:val="004C363A"/>
    <w:rsid w:val="00546335"/>
    <w:rsid w:val="00576101"/>
    <w:rsid w:val="005C06B6"/>
    <w:rsid w:val="00797573"/>
    <w:rsid w:val="00825327"/>
    <w:rsid w:val="00857109"/>
    <w:rsid w:val="008D78CE"/>
    <w:rsid w:val="00974EAF"/>
    <w:rsid w:val="009763AA"/>
    <w:rsid w:val="00A7555B"/>
    <w:rsid w:val="00AB0EAE"/>
    <w:rsid w:val="00B9373B"/>
    <w:rsid w:val="00BB0344"/>
    <w:rsid w:val="00BC3358"/>
    <w:rsid w:val="00BE72C3"/>
    <w:rsid w:val="00C1458D"/>
    <w:rsid w:val="00C8677A"/>
    <w:rsid w:val="00CC3C0E"/>
    <w:rsid w:val="00CE05C0"/>
    <w:rsid w:val="00D41D33"/>
    <w:rsid w:val="00D574FF"/>
    <w:rsid w:val="00D72D7B"/>
    <w:rsid w:val="00DD3B1F"/>
    <w:rsid w:val="00DD75CD"/>
    <w:rsid w:val="00E21E77"/>
    <w:rsid w:val="00E45BD0"/>
    <w:rsid w:val="00E53D4B"/>
    <w:rsid w:val="00E76B6F"/>
    <w:rsid w:val="00EE0154"/>
    <w:rsid w:val="00F83434"/>
    <w:rsid w:val="00F84998"/>
    <w:rsid w:val="00FA5F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1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3B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B03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344"/>
    <w:rPr>
      <w:rFonts w:ascii="Tahoma" w:hAnsi="Tahoma" w:cs="Tahoma"/>
      <w:sz w:val="16"/>
      <w:szCs w:val="16"/>
    </w:rPr>
  </w:style>
  <w:style w:type="paragraph" w:styleId="Header">
    <w:name w:val="header"/>
    <w:basedOn w:val="Normal"/>
    <w:link w:val="HeaderChar"/>
    <w:uiPriority w:val="99"/>
    <w:unhideWhenUsed/>
    <w:rsid w:val="00013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71C"/>
  </w:style>
  <w:style w:type="paragraph" w:styleId="Footer">
    <w:name w:val="footer"/>
    <w:basedOn w:val="Normal"/>
    <w:link w:val="FooterChar"/>
    <w:uiPriority w:val="99"/>
    <w:unhideWhenUsed/>
    <w:rsid w:val="000137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71C"/>
  </w:style>
  <w:style w:type="character" w:customStyle="1" w:styleId="selectable">
    <w:name w:val="selectable"/>
    <w:basedOn w:val="DefaultParagraphFont"/>
    <w:rsid w:val="003F6466"/>
  </w:style>
  <w:style w:type="character" w:styleId="Hyperlink">
    <w:name w:val="Hyperlink"/>
    <w:basedOn w:val="DefaultParagraphFont"/>
    <w:uiPriority w:val="99"/>
    <w:unhideWhenUsed/>
    <w:rsid w:val="0034178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3B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B03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344"/>
    <w:rPr>
      <w:rFonts w:ascii="Tahoma" w:hAnsi="Tahoma" w:cs="Tahoma"/>
      <w:sz w:val="16"/>
      <w:szCs w:val="16"/>
    </w:rPr>
  </w:style>
  <w:style w:type="paragraph" w:styleId="Header">
    <w:name w:val="header"/>
    <w:basedOn w:val="Normal"/>
    <w:link w:val="HeaderChar"/>
    <w:uiPriority w:val="99"/>
    <w:unhideWhenUsed/>
    <w:rsid w:val="00013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71C"/>
  </w:style>
  <w:style w:type="paragraph" w:styleId="Footer">
    <w:name w:val="footer"/>
    <w:basedOn w:val="Normal"/>
    <w:link w:val="FooterChar"/>
    <w:uiPriority w:val="99"/>
    <w:unhideWhenUsed/>
    <w:rsid w:val="000137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71C"/>
  </w:style>
  <w:style w:type="character" w:customStyle="1" w:styleId="selectable">
    <w:name w:val="selectable"/>
    <w:basedOn w:val="DefaultParagraphFont"/>
    <w:rsid w:val="003F6466"/>
  </w:style>
  <w:style w:type="character" w:styleId="Hyperlink">
    <w:name w:val="Hyperlink"/>
    <w:basedOn w:val="DefaultParagraphFont"/>
    <w:uiPriority w:val="99"/>
    <w:unhideWhenUsed/>
    <w:rsid w:val="00341789"/>
    <w:rPr>
      <w:color w:val="0000FF"/>
      <w:u w:val="single"/>
    </w:rPr>
  </w:style>
</w:styles>
</file>

<file path=word/webSettings.xml><?xml version="1.0" encoding="utf-8"?>
<w:webSettings xmlns:r="http://schemas.openxmlformats.org/officeDocument/2006/relationships" xmlns:w="http://schemas.openxmlformats.org/wordprocessingml/2006/main">
  <w:divs>
    <w:div w:id="255479111">
      <w:bodyDiv w:val="1"/>
      <w:marLeft w:val="0"/>
      <w:marRight w:val="0"/>
      <w:marTop w:val="0"/>
      <w:marBottom w:val="0"/>
      <w:divBdr>
        <w:top w:val="none" w:sz="0" w:space="0" w:color="auto"/>
        <w:left w:val="none" w:sz="0" w:space="0" w:color="auto"/>
        <w:bottom w:val="none" w:sz="0" w:space="0" w:color="auto"/>
        <w:right w:val="none" w:sz="0" w:space="0" w:color="auto"/>
      </w:divBdr>
    </w:div>
    <w:div w:id="525680860">
      <w:bodyDiv w:val="1"/>
      <w:marLeft w:val="0"/>
      <w:marRight w:val="0"/>
      <w:marTop w:val="0"/>
      <w:marBottom w:val="0"/>
      <w:divBdr>
        <w:top w:val="none" w:sz="0" w:space="0" w:color="auto"/>
        <w:left w:val="none" w:sz="0" w:space="0" w:color="auto"/>
        <w:bottom w:val="none" w:sz="0" w:space="0" w:color="auto"/>
        <w:right w:val="none" w:sz="0" w:space="0" w:color="auto"/>
      </w:divBdr>
    </w:div>
    <w:div w:id="1006250992">
      <w:bodyDiv w:val="1"/>
      <w:marLeft w:val="0"/>
      <w:marRight w:val="0"/>
      <w:marTop w:val="0"/>
      <w:marBottom w:val="0"/>
      <w:divBdr>
        <w:top w:val="none" w:sz="0" w:space="0" w:color="auto"/>
        <w:left w:val="none" w:sz="0" w:space="0" w:color="auto"/>
        <w:bottom w:val="none" w:sz="0" w:space="0" w:color="auto"/>
        <w:right w:val="none" w:sz="0" w:space="0" w:color="auto"/>
      </w:divBdr>
    </w:div>
    <w:div w:id="133583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financials.morningstar.com/balancesheet/bs.html?t=SHLDQ&amp;region=usa&amp;culture=en-US" TargetMode="External"/><Relationship Id="rId4" Type="http://schemas.openxmlformats.org/officeDocument/2006/relationships/footnotes" Target="footnotes.xml"/><Relationship Id="rId9" Type="http://schemas.openxmlformats.org/officeDocument/2006/relationships/hyperlink" Target="http://financials.morningstar.com/cashflow/cf.html?t=SHLDQ&amp;region=usa&amp;culture=en-US" TargetMode="External"/><Relationship Id="rId14"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c\Documents\sears%20corp.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c\Documents\sears%20corp.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c\Documents\sears%20corp.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'SHLDQ Balance Sheet'!$A$25</c:f>
              <c:strCache>
                <c:ptCount val="1"/>
                <c:pt idx="0">
                  <c:v>Total assets</c:v>
                </c:pt>
              </c:strCache>
            </c:strRef>
          </c:tx>
          <c:cat>
            <c:strRef>
              <c:f>'SHLDQ Balance Sheet'!$C$2:$F$2</c:f>
              <c:strCache>
                <c:ptCount val="4"/>
                <c:pt idx="0">
                  <c:v>2015-01</c:v>
                </c:pt>
                <c:pt idx="1">
                  <c:v>2016-01</c:v>
                </c:pt>
                <c:pt idx="2">
                  <c:v>2017-01</c:v>
                </c:pt>
                <c:pt idx="3">
                  <c:v>2018-01</c:v>
                </c:pt>
              </c:strCache>
            </c:strRef>
          </c:cat>
          <c:val>
            <c:numRef>
              <c:f>'SHLDQ Balance Sheet'!$C$25:$F$25</c:f>
              <c:numCache>
                <c:formatCode>General</c:formatCode>
                <c:ptCount val="4"/>
                <c:pt idx="0">
                  <c:v>13209</c:v>
                </c:pt>
                <c:pt idx="1">
                  <c:v>11337</c:v>
                </c:pt>
                <c:pt idx="2">
                  <c:v>9362</c:v>
                </c:pt>
                <c:pt idx="3">
                  <c:v>7262</c:v>
                </c:pt>
              </c:numCache>
            </c:numRef>
          </c:val>
        </c:ser>
        <c:ser>
          <c:idx val="1"/>
          <c:order val="1"/>
          <c:tx>
            <c:strRef>
              <c:f>'SHLDQ Balance Sheet'!$A$45</c:f>
              <c:strCache>
                <c:ptCount val="1"/>
                <c:pt idx="0">
                  <c:v>Total liabilities</c:v>
                </c:pt>
              </c:strCache>
            </c:strRef>
          </c:tx>
          <c:cat>
            <c:strRef>
              <c:f>'SHLDQ Balance Sheet'!$C$2:$F$2</c:f>
              <c:strCache>
                <c:ptCount val="4"/>
                <c:pt idx="0">
                  <c:v>2015-01</c:v>
                </c:pt>
                <c:pt idx="1">
                  <c:v>2016-01</c:v>
                </c:pt>
                <c:pt idx="2">
                  <c:v>2017-01</c:v>
                </c:pt>
                <c:pt idx="3">
                  <c:v>2018-01</c:v>
                </c:pt>
              </c:strCache>
            </c:strRef>
          </c:cat>
          <c:val>
            <c:numRef>
              <c:f>'SHLDQ Balance Sheet'!$C$45:$F$45</c:f>
              <c:numCache>
                <c:formatCode>General</c:formatCode>
                <c:ptCount val="4"/>
                <c:pt idx="0">
                  <c:v>14160</c:v>
                </c:pt>
                <c:pt idx="1">
                  <c:v>13300</c:v>
                </c:pt>
                <c:pt idx="2">
                  <c:v>13186</c:v>
                </c:pt>
                <c:pt idx="3">
                  <c:v>10985</c:v>
                </c:pt>
              </c:numCache>
            </c:numRef>
          </c:val>
        </c:ser>
        <c:axId val="113007232"/>
        <c:axId val="113013120"/>
      </c:barChart>
      <c:catAx>
        <c:axId val="113007232"/>
        <c:scaling>
          <c:orientation val="minMax"/>
        </c:scaling>
        <c:axPos val="b"/>
        <c:majorGridlines/>
        <c:minorGridlines/>
        <c:tickLblPos val="nextTo"/>
        <c:crossAx val="113013120"/>
        <c:crosses val="autoZero"/>
        <c:auto val="1"/>
        <c:lblAlgn val="ctr"/>
        <c:lblOffset val="100"/>
      </c:catAx>
      <c:valAx>
        <c:axId val="113013120"/>
        <c:scaling>
          <c:orientation val="minMax"/>
        </c:scaling>
        <c:axPos val="l"/>
        <c:majorGridlines/>
        <c:minorGridlines/>
        <c:numFmt formatCode="General" sourceLinked="1"/>
        <c:tickLblPos val="nextTo"/>
        <c:crossAx val="113007232"/>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plotArea>
      <c:layout/>
      <c:barChart>
        <c:barDir val="col"/>
        <c:grouping val="clustered"/>
        <c:ser>
          <c:idx val="0"/>
          <c:order val="0"/>
          <c:tx>
            <c:strRef>
              <c:f>'SHLDQ Income Statement'!$A$3</c:f>
              <c:strCache>
                <c:ptCount val="1"/>
                <c:pt idx="0">
                  <c:v>Revenue</c:v>
                </c:pt>
              </c:strCache>
            </c:strRef>
          </c:tx>
          <c:cat>
            <c:strRef>
              <c:f>'SHLDQ Income Statement'!$C$2:$F$2</c:f>
              <c:strCache>
                <c:ptCount val="4"/>
                <c:pt idx="0">
                  <c:v>2015-01</c:v>
                </c:pt>
                <c:pt idx="1">
                  <c:v>2016-01</c:v>
                </c:pt>
                <c:pt idx="2">
                  <c:v>2017-01</c:v>
                </c:pt>
                <c:pt idx="3">
                  <c:v>2018-01</c:v>
                </c:pt>
              </c:strCache>
            </c:strRef>
          </c:cat>
          <c:val>
            <c:numRef>
              <c:f>'SHLDQ Income Statement'!$C$3:$F$3</c:f>
              <c:numCache>
                <c:formatCode>General</c:formatCode>
                <c:ptCount val="4"/>
                <c:pt idx="0">
                  <c:v>31198</c:v>
                </c:pt>
                <c:pt idx="1">
                  <c:v>25146</c:v>
                </c:pt>
                <c:pt idx="2">
                  <c:v>22138</c:v>
                </c:pt>
                <c:pt idx="3">
                  <c:v>16702</c:v>
                </c:pt>
              </c:numCache>
            </c:numRef>
          </c:val>
        </c:ser>
        <c:axId val="114821760"/>
        <c:axId val="114884992"/>
      </c:barChart>
      <c:catAx>
        <c:axId val="114821760"/>
        <c:scaling>
          <c:orientation val="minMax"/>
        </c:scaling>
        <c:axPos val="b"/>
        <c:majorGridlines/>
        <c:minorGridlines/>
        <c:tickLblPos val="nextTo"/>
        <c:crossAx val="114884992"/>
        <c:crosses val="autoZero"/>
        <c:auto val="1"/>
        <c:lblAlgn val="ctr"/>
        <c:lblOffset val="100"/>
      </c:catAx>
      <c:valAx>
        <c:axId val="114884992"/>
        <c:scaling>
          <c:orientation val="minMax"/>
        </c:scaling>
        <c:axPos val="l"/>
        <c:majorGridlines/>
        <c:minorGridlines/>
        <c:numFmt formatCode="General" sourceLinked="1"/>
        <c:tickLblPos val="nextTo"/>
        <c:crossAx val="114821760"/>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5"/>
  <c:chart>
    <c:title/>
    <c:plotArea>
      <c:layout/>
      <c:barChart>
        <c:barDir val="col"/>
        <c:grouping val="clustered"/>
        <c:ser>
          <c:idx val="0"/>
          <c:order val="0"/>
          <c:tx>
            <c:strRef>
              <c:f>'SHLDQ Income Statement'!$A$19</c:f>
              <c:strCache>
                <c:ptCount val="1"/>
                <c:pt idx="0">
                  <c:v>Net income</c:v>
                </c:pt>
              </c:strCache>
            </c:strRef>
          </c:tx>
          <c:cat>
            <c:strRef>
              <c:f>'SHLDQ Income Statement'!$C$2:$F$2</c:f>
              <c:strCache>
                <c:ptCount val="4"/>
                <c:pt idx="0">
                  <c:v>2015-01</c:v>
                </c:pt>
                <c:pt idx="1">
                  <c:v>2016-01</c:v>
                </c:pt>
                <c:pt idx="2">
                  <c:v>2017-01</c:v>
                </c:pt>
                <c:pt idx="3">
                  <c:v>2018-01</c:v>
                </c:pt>
              </c:strCache>
            </c:strRef>
          </c:cat>
          <c:val>
            <c:numRef>
              <c:f>'SHLDQ Income Statement'!$C$19:$F$19</c:f>
              <c:numCache>
                <c:formatCode>General</c:formatCode>
                <c:ptCount val="4"/>
                <c:pt idx="0">
                  <c:v>-1682</c:v>
                </c:pt>
                <c:pt idx="1">
                  <c:v>-1129</c:v>
                </c:pt>
                <c:pt idx="2">
                  <c:v>-2221</c:v>
                </c:pt>
                <c:pt idx="3">
                  <c:v>-383</c:v>
                </c:pt>
              </c:numCache>
            </c:numRef>
          </c:val>
        </c:ser>
        <c:axId val="111270912"/>
        <c:axId val="112997120"/>
      </c:barChart>
      <c:catAx>
        <c:axId val="111270912"/>
        <c:scaling>
          <c:orientation val="minMax"/>
        </c:scaling>
        <c:axPos val="b"/>
        <c:majorGridlines/>
        <c:minorGridlines/>
        <c:tickLblPos val="nextTo"/>
        <c:crossAx val="112997120"/>
        <c:crosses val="autoZero"/>
        <c:auto val="1"/>
        <c:lblAlgn val="ctr"/>
        <c:lblOffset val="100"/>
      </c:catAx>
      <c:valAx>
        <c:axId val="112997120"/>
        <c:scaling>
          <c:orientation val="minMax"/>
        </c:scaling>
        <c:axPos val="l"/>
        <c:majorGridlines/>
        <c:minorGridlines/>
        <c:numFmt formatCode="General" sourceLinked="1"/>
        <c:tickLblPos val="nextTo"/>
        <c:crossAx val="111270912"/>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2019-06-28T22:15:00Z</dcterms:created>
  <dcterms:modified xsi:type="dcterms:W3CDTF">2019-06-28T22:15:00Z</dcterms:modified>
</cp:coreProperties>
</file>